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E8AA" w14:textId="6C3F8725" w:rsidR="00F020EB" w:rsidRDefault="00F020EB">
      <w:r w:rsidRPr="00F020EB">
        <w:rPr>
          <w:noProof/>
        </w:rPr>
        <w:drawing>
          <wp:anchor distT="0" distB="0" distL="114300" distR="114300" simplePos="0" relativeHeight="251658240" behindDoc="0" locked="0" layoutInCell="1" allowOverlap="1" wp14:anchorId="5FDB9596" wp14:editId="06068944">
            <wp:simplePos x="0" y="0"/>
            <wp:positionH relativeFrom="margin">
              <wp:posOffset>300990</wp:posOffset>
            </wp:positionH>
            <wp:positionV relativeFrom="paragraph">
              <wp:posOffset>322355</wp:posOffset>
            </wp:positionV>
            <wp:extent cx="1043492" cy="1033262"/>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043492" cy="103326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ED37ED">
        <w:rPr>
          <w:rFonts w:ascii="Arial" w:eastAsiaTheme="majorEastAsia" w:hAnsi="Arial" w:cs="Arial"/>
          <w:b/>
          <w:bCs/>
          <w:noProof/>
          <w:sz w:val="32"/>
          <w:szCs w:val="32"/>
        </w:rPr>
        <mc:AlternateContent>
          <mc:Choice Requires="wps">
            <w:drawing>
              <wp:inline distT="0" distB="0" distL="0" distR="0" wp14:anchorId="43CCAD26" wp14:editId="1E1B7488">
                <wp:extent cx="5943600" cy="1276852"/>
                <wp:effectExtent l="19050" t="19050" r="19050"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6852"/>
                        </a:xfrm>
                        <a:prstGeom prst="rect">
                          <a:avLst/>
                        </a:prstGeom>
                        <a:solidFill>
                          <a:srgbClr val="FFFFFF"/>
                        </a:solidFill>
                        <a:ln w="38100" cmpd="dbl">
                          <a:solidFill>
                            <a:srgbClr val="000000"/>
                          </a:solidFill>
                          <a:prstDash val="solid"/>
                          <a:miter lim="800000"/>
                          <a:headEnd/>
                          <a:tailEnd/>
                        </a:ln>
                        <a:effectLst>
                          <a:softEdge rad="0"/>
                        </a:effectLst>
                      </wps:spPr>
                      <wps:txbx>
                        <w:txbxContent>
                          <w:p w14:paraId="168236A3" w14:textId="77777777" w:rsidR="00621A54" w:rsidRDefault="00621A54" w:rsidP="00F020EB">
                            <w:pPr>
                              <w:spacing w:after="0"/>
                              <w:ind w:left="2160" w:firstLine="720"/>
                              <w:rPr>
                                <w:rFonts w:ascii="Arial" w:eastAsiaTheme="majorEastAsia" w:hAnsi="Arial" w:cs="Arial"/>
                                <w:b/>
                                <w:bCs/>
                                <w:sz w:val="28"/>
                                <w:szCs w:val="28"/>
                              </w:rPr>
                            </w:pPr>
                          </w:p>
                          <w:p w14:paraId="1C76B5ED" w14:textId="77777777" w:rsidR="00621A54" w:rsidRDefault="00621A54" w:rsidP="00F020EB">
                            <w:pPr>
                              <w:spacing w:after="0"/>
                              <w:ind w:left="2160" w:firstLine="720"/>
                              <w:rPr>
                                <w:rFonts w:ascii="Arial" w:eastAsiaTheme="majorEastAsia" w:hAnsi="Arial" w:cs="Arial"/>
                                <w:b/>
                                <w:bCs/>
                                <w:sz w:val="28"/>
                                <w:szCs w:val="28"/>
                              </w:rPr>
                            </w:pPr>
                            <w:r w:rsidRPr="00D97797">
                              <w:rPr>
                                <w:rFonts w:ascii="Arial" w:eastAsiaTheme="majorEastAsia" w:hAnsi="Arial" w:cs="Arial"/>
                                <w:b/>
                                <w:bCs/>
                                <w:sz w:val="28"/>
                                <w:szCs w:val="28"/>
                              </w:rPr>
                              <w:t>D</w:t>
                            </w:r>
                            <w:r>
                              <w:rPr>
                                <w:rFonts w:ascii="Arial" w:eastAsiaTheme="majorEastAsia" w:hAnsi="Arial" w:cs="Arial"/>
                                <w:b/>
                                <w:bCs/>
                                <w:sz w:val="28"/>
                                <w:szCs w:val="28"/>
                              </w:rPr>
                              <w:t>ane County</w:t>
                            </w:r>
                          </w:p>
                          <w:p w14:paraId="112E0D1B" w14:textId="77777777" w:rsidR="00621A54" w:rsidRPr="00D97797" w:rsidRDefault="00621A54" w:rsidP="00F020EB">
                            <w:pPr>
                              <w:spacing w:after="0"/>
                              <w:ind w:left="2880"/>
                              <w:rPr>
                                <w:rFonts w:ascii="Arial" w:eastAsiaTheme="majorEastAsia" w:hAnsi="Arial" w:cs="Arial"/>
                                <w:b/>
                                <w:bCs/>
                                <w:sz w:val="28"/>
                                <w:szCs w:val="28"/>
                              </w:rPr>
                            </w:pPr>
                            <w:r>
                              <w:rPr>
                                <w:rFonts w:ascii="Arial" w:eastAsiaTheme="majorEastAsia" w:hAnsi="Arial" w:cs="Arial"/>
                                <w:b/>
                                <w:bCs/>
                                <w:sz w:val="28"/>
                                <w:szCs w:val="28"/>
                              </w:rPr>
                              <w:t>D</w:t>
                            </w:r>
                            <w:r w:rsidRPr="00D97797">
                              <w:rPr>
                                <w:rFonts w:ascii="Arial" w:eastAsiaTheme="majorEastAsia" w:hAnsi="Arial" w:cs="Arial"/>
                                <w:b/>
                                <w:bCs/>
                                <w:sz w:val="28"/>
                                <w:szCs w:val="28"/>
                              </w:rPr>
                              <w:t>epartment of Human Services</w:t>
                            </w:r>
                          </w:p>
                          <w:p w14:paraId="2EB98DA4" w14:textId="77777777" w:rsidR="00621A54" w:rsidRPr="00E71165" w:rsidRDefault="00621A54" w:rsidP="00F020EB">
                            <w:pPr>
                              <w:spacing w:after="0"/>
                              <w:ind w:left="2160" w:firstLine="720"/>
                              <w:rPr>
                                <w:rFonts w:ascii="Arial" w:eastAsiaTheme="majorEastAsia" w:hAnsi="Arial" w:cs="Arial"/>
                                <w:b/>
                                <w:bCs/>
                                <w:sz w:val="24"/>
                                <w:szCs w:val="24"/>
                              </w:rPr>
                            </w:pPr>
                            <w:r w:rsidRPr="00E71165">
                              <w:rPr>
                                <w:rFonts w:ascii="Arial" w:eastAsiaTheme="majorEastAsia" w:hAnsi="Arial" w:cs="Arial"/>
                                <w:b/>
                                <w:bCs/>
                                <w:sz w:val="24"/>
                                <w:szCs w:val="24"/>
                              </w:rPr>
                              <w:t>Division of Housing Access &amp; Affordability</w:t>
                            </w:r>
                          </w:p>
                        </w:txbxContent>
                      </wps:txbx>
                      <wps:bodyPr rot="0" vert="horz" wrap="square" lIns="91440" tIns="45720" rIns="91440" bIns="45720" anchor="t" anchorCtr="0">
                        <a:noAutofit/>
                      </wps:bodyPr>
                    </wps:wsp>
                  </a:graphicData>
                </a:graphic>
              </wp:inline>
            </w:drawing>
          </mc:Choice>
          <mc:Fallback>
            <w:pict>
              <v:shapetype w14:anchorId="43CCAD26" id="_x0000_t202" coordsize="21600,21600" o:spt="202" path="m,l,21600r21600,l21600,xe">
                <v:stroke joinstyle="miter"/>
                <v:path gradientshapeok="t" o:connecttype="rect"/>
              </v:shapetype>
              <v:shape id="Text Box 2" o:spid="_x0000_s1026" type="#_x0000_t202" style="width:468pt;height:10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" strokeweight="3pt">
                <v:stroke linestyle="thinThin"/>
                <v:textbox>
                  <w:txbxContent>
                    <w:p w14:paraId="168236A3" w14:textId="77777777" w:rsidR="00621A54" w:rsidRDefault="00621A54" w:rsidP="00F020EB">
                      <w:pPr>
                        <w:spacing w:after="0"/>
                        <w:ind w:left="2160" w:firstLine="720"/>
                        <w:rPr>
                          <w:rFonts w:ascii="Arial" w:eastAsiaTheme="majorEastAsia" w:hAnsi="Arial" w:cs="Arial"/>
                          <w:b/>
                          <w:bCs/>
                          <w:sz w:val="28"/>
                          <w:szCs w:val="28"/>
                        </w:rPr>
                      </w:pPr>
                    </w:p>
                    <w:p w14:paraId="1C76B5ED" w14:textId="77777777" w:rsidR="00621A54" w:rsidRDefault="00621A54" w:rsidP="00F020EB">
                      <w:pPr>
                        <w:spacing w:after="0"/>
                        <w:ind w:left="2160" w:firstLine="720"/>
                        <w:rPr>
                          <w:rFonts w:ascii="Arial" w:eastAsiaTheme="majorEastAsia" w:hAnsi="Arial" w:cs="Arial"/>
                          <w:b/>
                          <w:bCs/>
                          <w:sz w:val="28"/>
                          <w:szCs w:val="28"/>
                        </w:rPr>
                      </w:pPr>
                      <w:r w:rsidRPr="00D97797">
                        <w:rPr>
                          <w:rFonts w:ascii="Arial" w:eastAsiaTheme="majorEastAsia" w:hAnsi="Arial" w:cs="Arial"/>
                          <w:b/>
                          <w:bCs/>
                          <w:sz w:val="28"/>
                          <w:szCs w:val="28"/>
                        </w:rPr>
                        <w:t>D</w:t>
                      </w:r>
                      <w:r>
                        <w:rPr>
                          <w:rFonts w:ascii="Arial" w:eastAsiaTheme="majorEastAsia" w:hAnsi="Arial" w:cs="Arial"/>
                          <w:b/>
                          <w:bCs/>
                          <w:sz w:val="28"/>
                          <w:szCs w:val="28"/>
                        </w:rPr>
                        <w:t>ane County</w:t>
                      </w:r>
                    </w:p>
                    <w:p w14:paraId="112E0D1B" w14:textId="77777777" w:rsidR="00621A54" w:rsidRPr="00D97797" w:rsidRDefault="00621A54" w:rsidP="00F020EB">
                      <w:pPr>
                        <w:spacing w:after="0"/>
                        <w:ind w:left="2880"/>
                        <w:rPr>
                          <w:rFonts w:ascii="Arial" w:eastAsiaTheme="majorEastAsia" w:hAnsi="Arial" w:cs="Arial"/>
                          <w:b/>
                          <w:bCs/>
                          <w:sz w:val="28"/>
                          <w:szCs w:val="28"/>
                        </w:rPr>
                      </w:pPr>
                      <w:r>
                        <w:rPr>
                          <w:rFonts w:ascii="Arial" w:eastAsiaTheme="majorEastAsia" w:hAnsi="Arial" w:cs="Arial"/>
                          <w:b/>
                          <w:bCs/>
                          <w:sz w:val="28"/>
                          <w:szCs w:val="28"/>
                        </w:rPr>
                        <w:t>D</w:t>
                      </w:r>
                      <w:r w:rsidRPr="00D97797">
                        <w:rPr>
                          <w:rFonts w:ascii="Arial" w:eastAsiaTheme="majorEastAsia" w:hAnsi="Arial" w:cs="Arial"/>
                          <w:b/>
                          <w:bCs/>
                          <w:sz w:val="28"/>
                          <w:szCs w:val="28"/>
                        </w:rPr>
                        <w:t>epartment of Human Services</w:t>
                      </w:r>
                    </w:p>
                    <w:p w14:paraId="2EB98DA4" w14:textId="77777777" w:rsidR="00621A54" w:rsidRPr="00E71165" w:rsidRDefault="00621A54" w:rsidP="00F020EB">
                      <w:pPr>
                        <w:spacing w:after="0"/>
                        <w:ind w:left="2160" w:firstLine="720"/>
                        <w:rPr>
                          <w:rFonts w:ascii="Arial" w:eastAsiaTheme="majorEastAsia" w:hAnsi="Arial" w:cs="Arial"/>
                          <w:b/>
                          <w:bCs/>
                          <w:sz w:val="24"/>
                          <w:szCs w:val="24"/>
                        </w:rPr>
                      </w:pPr>
                      <w:r w:rsidRPr="00E71165">
                        <w:rPr>
                          <w:rFonts w:ascii="Arial" w:eastAsiaTheme="majorEastAsia" w:hAnsi="Arial" w:cs="Arial"/>
                          <w:b/>
                          <w:bCs/>
                          <w:sz w:val="24"/>
                          <w:szCs w:val="24"/>
                        </w:rPr>
                        <w:t>Division of Housing Access &amp; Affordability</w:t>
                      </w:r>
                    </w:p>
                  </w:txbxContent>
                </v:textbox>
                <w10:anchorlock/>
              </v:shape>
            </w:pict>
          </mc:Fallback>
        </mc:AlternateContent>
      </w:r>
      <w:r>
        <w:t xml:space="preserve"> </w:t>
      </w:r>
    </w:p>
    <w:p w14:paraId="28CE96E1" w14:textId="77777777" w:rsidR="00F020EB" w:rsidRDefault="00F020EB" w:rsidP="00F020EB">
      <w:pPr>
        <w:pStyle w:val="NoSpacing"/>
        <w:jc w:val="center"/>
      </w:pPr>
    </w:p>
    <w:p w14:paraId="187EF667" w14:textId="05D65E54" w:rsidR="00270E58" w:rsidRPr="006B1F2C" w:rsidRDefault="00F020EB" w:rsidP="00F020EB">
      <w:pPr>
        <w:pStyle w:val="NoSpacing"/>
        <w:jc w:val="center"/>
        <w:rPr>
          <w:b/>
          <w:sz w:val="28"/>
        </w:rPr>
      </w:pPr>
      <w:r w:rsidRPr="006B1F2C">
        <w:rPr>
          <w:b/>
          <w:sz w:val="28"/>
        </w:rPr>
        <w:t>Dane County Affordable Housing Development Fund</w:t>
      </w:r>
      <w:r w:rsidR="00DB4AB5">
        <w:rPr>
          <w:b/>
          <w:sz w:val="28"/>
        </w:rPr>
        <w:t xml:space="preserve"> (AHDF)</w:t>
      </w:r>
    </w:p>
    <w:p w14:paraId="59BF9DE4" w14:textId="2112ECC7" w:rsidR="00F020EB" w:rsidRPr="006B1F2C" w:rsidRDefault="00F020EB" w:rsidP="00F020EB">
      <w:pPr>
        <w:pStyle w:val="NoSpacing"/>
        <w:jc w:val="center"/>
        <w:rPr>
          <w:b/>
          <w:sz w:val="28"/>
        </w:rPr>
      </w:pPr>
      <w:r w:rsidRPr="006B1F2C">
        <w:rPr>
          <w:b/>
          <w:sz w:val="28"/>
        </w:rPr>
        <w:t>20</w:t>
      </w:r>
      <w:r w:rsidR="00B063B8">
        <w:rPr>
          <w:b/>
          <w:sz w:val="28"/>
        </w:rPr>
        <w:t>2</w:t>
      </w:r>
      <w:r w:rsidR="00426346">
        <w:rPr>
          <w:b/>
          <w:sz w:val="28"/>
        </w:rPr>
        <w:t>5</w:t>
      </w:r>
      <w:r w:rsidRPr="006B1F2C">
        <w:rPr>
          <w:b/>
          <w:sz w:val="28"/>
        </w:rPr>
        <w:t xml:space="preserve"> Guidelines and Applications for Financing</w:t>
      </w:r>
    </w:p>
    <w:p w14:paraId="271910D1" w14:textId="77777777" w:rsidR="00F020EB" w:rsidRDefault="00F020EB" w:rsidP="00F020EB">
      <w:pPr>
        <w:pStyle w:val="NoSpacing"/>
        <w:jc w:val="center"/>
        <w:rPr>
          <w:b/>
          <w:sz w:val="28"/>
        </w:rPr>
      </w:pPr>
      <w:r w:rsidRPr="006B1F2C">
        <w:rPr>
          <w:b/>
          <w:sz w:val="28"/>
        </w:rPr>
        <w:t>FAQ</w:t>
      </w:r>
    </w:p>
    <w:p w14:paraId="07A6E55D" w14:textId="3B5A1170" w:rsidR="00CF1938" w:rsidRPr="006B1F2C" w:rsidRDefault="001A4AC1" w:rsidP="00F020EB">
      <w:pPr>
        <w:pStyle w:val="NoSpacing"/>
        <w:jc w:val="center"/>
        <w:rPr>
          <w:b/>
          <w:sz w:val="28"/>
        </w:rPr>
      </w:pPr>
      <w:r>
        <w:rPr>
          <w:b/>
          <w:sz w:val="28"/>
        </w:rPr>
        <w:t>07-2</w:t>
      </w:r>
      <w:r w:rsidR="00426346">
        <w:rPr>
          <w:b/>
          <w:sz w:val="28"/>
        </w:rPr>
        <w:t>8</w:t>
      </w:r>
      <w:r>
        <w:rPr>
          <w:b/>
          <w:sz w:val="28"/>
        </w:rPr>
        <w:t>-2</w:t>
      </w:r>
      <w:r w:rsidR="00426346">
        <w:rPr>
          <w:b/>
          <w:sz w:val="28"/>
        </w:rPr>
        <w:t>5</w:t>
      </w:r>
    </w:p>
    <w:p w14:paraId="28B9E68C" w14:textId="77777777" w:rsidR="00F020EB" w:rsidRPr="006B1F2C" w:rsidRDefault="00F020EB" w:rsidP="005B2428">
      <w:pPr>
        <w:rPr>
          <w:b/>
        </w:rPr>
      </w:pPr>
    </w:p>
    <w:p w14:paraId="58ED0D74" w14:textId="38952F18" w:rsidR="001A4AC1" w:rsidRDefault="00426346" w:rsidP="000D3B7D">
      <w:pPr>
        <w:rPr>
          <w:b/>
          <w:sz w:val="28"/>
          <w:szCs w:val="28"/>
        </w:rPr>
      </w:pPr>
      <w:r>
        <w:rPr>
          <w:b/>
          <w:sz w:val="28"/>
          <w:szCs w:val="28"/>
        </w:rPr>
        <w:t>Supportive Services</w:t>
      </w:r>
      <w:r w:rsidR="00F9078B" w:rsidRPr="001A4AC1">
        <w:rPr>
          <w:b/>
          <w:sz w:val="28"/>
          <w:szCs w:val="28"/>
        </w:rPr>
        <w:t xml:space="preserve"> </w:t>
      </w:r>
    </w:p>
    <w:p w14:paraId="4EAA2597" w14:textId="0EF6BD67" w:rsidR="00F9078B" w:rsidRPr="000D3B7D" w:rsidRDefault="00426346" w:rsidP="000D3B7D">
      <w:pPr>
        <w:pStyle w:val="ListParagraph"/>
        <w:numPr>
          <w:ilvl w:val="0"/>
          <w:numId w:val="20"/>
        </w:numPr>
        <w:rPr>
          <w:b/>
        </w:rPr>
      </w:pPr>
      <w:r w:rsidRPr="000D3B7D">
        <w:rPr>
          <w:b/>
        </w:rPr>
        <w:t xml:space="preserve">Is the supportive services contribution expected to be a one-time contribution or contributed annually?  How will it be enforced? </w:t>
      </w:r>
    </w:p>
    <w:p w14:paraId="30BABA5E" w14:textId="6380A0D1" w:rsidR="0010559E" w:rsidRDefault="00426346" w:rsidP="000D3B7D">
      <w:pPr>
        <w:ind w:left="720"/>
      </w:pPr>
      <w:r>
        <w:t xml:space="preserve">The supportive services contribution is required to </w:t>
      </w:r>
      <w:r w:rsidR="000D3B7D">
        <w:t xml:space="preserve">be </w:t>
      </w:r>
      <w:r>
        <w:t xml:space="preserve">made annually. This requirement will be included in the Dane County Affordable Housing Development Fund grant agreement.  </w:t>
      </w:r>
    </w:p>
    <w:p w14:paraId="3E4F2AA4" w14:textId="34CCDDC4" w:rsidR="00426346" w:rsidRDefault="00426346" w:rsidP="000D3B7D">
      <w:pPr>
        <w:ind w:left="720"/>
      </w:pPr>
      <w:r>
        <w:t>Failure to make the</w:t>
      </w:r>
      <w:r w:rsidR="0010559E">
        <w:t xml:space="preserve"> supportive service</w:t>
      </w:r>
      <w:r>
        <w:t xml:space="preserve"> contribution would be considered a default under the </w:t>
      </w:r>
      <w:r w:rsidR="0010559E">
        <w:t xml:space="preserve">grant </w:t>
      </w:r>
      <w:r>
        <w:t>agreement.</w:t>
      </w:r>
    </w:p>
    <w:p w14:paraId="4235A7D8" w14:textId="190EFEED" w:rsidR="00426346" w:rsidRPr="000D3B7D" w:rsidRDefault="00426346" w:rsidP="000D3B7D">
      <w:pPr>
        <w:pStyle w:val="ListParagraph"/>
        <w:numPr>
          <w:ilvl w:val="0"/>
          <w:numId w:val="20"/>
        </w:numPr>
        <w:rPr>
          <w:b/>
          <w:bCs/>
        </w:rPr>
      </w:pPr>
      <w:r w:rsidRPr="000D3B7D">
        <w:rPr>
          <w:b/>
          <w:bCs/>
        </w:rPr>
        <w:t>How long is the annual supportive services contribution expected to last?</w:t>
      </w:r>
    </w:p>
    <w:p w14:paraId="00AF8283" w14:textId="7F1FCB16" w:rsidR="00426346" w:rsidRDefault="00426346" w:rsidP="000D3B7D">
      <w:pPr>
        <w:ind w:left="720"/>
      </w:pPr>
      <w:r>
        <w:t xml:space="preserve">The supportive services contribution is expected last annually through the term of the Dane County Affordable Housing Development Fund grant agreement. </w:t>
      </w:r>
      <w:r w:rsidR="008740DB">
        <w:t xml:space="preserve"> The loan issued by DCHA under the grant agreement prohibits pre-payment of the loan before year 15.</w:t>
      </w:r>
    </w:p>
    <w:p w14:paraId="2A2CA53F" w14:textId="4D83EC1F" w:rsidR="009A7FF8" w:rsidRDefault="009A7FF8" w:rsidP="009A7FF8">
      <w:pPr>
        <w:pStyle w:val="ListParagraph"/>
        <w:numPr>
          <w:ilvl w:val="0"/>
          <w:numId w:val="20"/>
        </w:numPr>
        <w:rPr>
          <w:b/>
          <w:bCs/>
        </w:rPr>
      </w:pPr>
      <w:r w:rsidRPr="009A7FF8">
        <w:rPr>
          <w:b/>
          <w:bCs/>
        </w:rPr>
        <w:t>Do the supportive service dollars need to paid out in full</w:t>
      </w:r>
      <w:r w:rsidR="008740DB">
        <w:rPr>
          <w:b/>
          <w:bCs/>
        </w:rPr>
        <w:t xml:space="preserve"> to the provider</w:t>
      </w:r>
      <w:r w:rsidRPr="009A7FF8">
        <w:rPr>
          <w:b/>
          <w:bCs/>
        </w:rPr>
        <w:t xml:space="preserve"> at the beginning of year or </w:t>
      </w:r>
      <w:r w:rsidR="0010559E">
        <w:rPr>
          <w:b/>
          <w:bCs/>
        </w:rPr>
        <w:t xml:space="preserve">can they be </w:t>
      </w:r>
      <w:r w:rsidRPr="009A7FF8">
        <w:rPr>
          <w:b/>
          <w:bCs/>
        </w:rPr>
        <w:t>reimbursed based on services provided</w:t>
      </w:r>
      <w:r w:rsidR="0010559E">
        <w:rPr>
          <w:b/>
          <w:bCs/>
        </w:rPr>
        <w:t xml:space="preserve"> and billed</w:t>
      </w:r>
      <w:r w:rsidRPr="009A7FF8">
        <w:rPr>
          <w:b/>
          <w:bCs/>
        </w:rPr>
        <w:t>?</w:t>
      </w:r>
    </w:p>
    <w:p w14:paraId="4838E140" w14:textId="586180F1" w:rsidR="0010559E" w:rsidRDefault="0010559E" w:rsidP="0010559E">
      <w:pPr>
        <w:ind w:left="720"/>
      </w:pPr>
      <w:r>
        <w:t>Service providers may be reimbursed based on services provided and billed.</w:t>
      </w:r>
    </w:p>
    <w:p w14:paraId="2F9C8D92" w14:textId="000BB001" w:rsidR="0010559E" w:rsidRDefault="0010559E" w:rsidP="0010559E">
      <w:pPr>
        <w:pStyle w:val="ListParagraph"/>
        <w:numPr>
          <w:ilvl w:val="0"/>
          <w:numId w:val="20"/>
        </w:numPr>
        <w:rPr>
          <w:b/>
          <w:bCs/>
        </w:rPr>
      </w:pPr>
      <w:r w:rsidRPr="0010559E">
        <w:rPr>
          <w:b/>
          <w:bCs/>
        </w:rPr>
        <w:t xml:space="preserve">Do supportive service dollars need to be spent entirely on staffing? </w:t>
      </w:r>
    </w:p>
    <w:p w14:paraId="0A69D4F3" w14:textId="3FC43816" w:rsidR="009A7FF8" w:rsidRDefault="0010559E" w:rsidP="0010559E">
      <w:pPr>
        <w:ind w:left="720"/>
      </w:pPr>
      <w:r>
        <w:t xml:space="preserve">Dane County does not require that supportive services dollars </w:t>
      </w:r>
      <w:r w:rsidR="008740DB">
        <w:t>be</w:t>
      </w:r>
      <w:r>
        <w:t xml:space="preserve"> spent entirely on staffing.  Applicants should work with their supportive service providers to identify additional ways </w:t>
      </w:r>
      <w:r w:rsidR="008740DB">
        <w:t>the</w:t>
      </w:r>
      <w:r>
        <w:t xml:space="preserve"> providers may be able to spend </w:t>
      </w:r>
      <w:r w:rsidR="008740DB">
        <w:t>dollars</w:t>
      </w:r>
      <w:r>
        <w:t xml:space="preserve">. </w:t>
      </w:r>
    </w:p>
    <w:p w14:paraId="5B1CA8E7" w14:textId="34AD2EFA" w:rsidR="00426346" w:rsidRPr="000D3B7D" w:rsidRDefault="00426346" w:rsidP="00426346">
      <w:pPr>
        <w:rPr>
          <w:b/>
          <w:bCs/>
          <w:sz w:val="28"/>
          <w:szCs w:val="28"/>
        </w:rPr>
      </w:pPr>
      <w:r w:rsidRPr="000D3B7D">
        <w:rPr>
          <w:b/>
          <w:bCs/>
          <w:sz w:val="28"/>
          <w:szCs w:val="28"/>
        </w:rPr>
        <w:t>Access to Voucher Holders</w:t>
      </w:r>
    </w:p>
    <w:p w14:paraId="7E58E642" w14:textId="686C82EB" w:rsidR="00426346" w:rsidRPr="00157048" w:rsidRDefault="00426346" w:rsidP="00426346">
      <w:pPr>
        <w:pStyle w:val="ListParagraph"/>
        <w:numPr>
          <w:ilvl w:val="0"/>
          <w:numId w:val="16"/>
        </w:numPr>
        <w:rPr>
          <w:b/>
          <w:bCs/>
        </w:rPr>
      </w:pPr>
      <w:r w:rsidRPr="00157048">
        <w:rPr>
          <w:b/>
          <w:bCs/>
        </w:rPr>
        <w:t>I don’t fully understand the 80% rent and section 8 question.  Could</w:t>
      </w:r>
      <w:r w:rsidR="000D3B7D">
        <w:rPr>
          <w:b/>
          <w:bCs/>
        </w:rPr>
        <w:t xml:space="preserve"> you</w:t>
      </w:r>
      <w:r w:rsidRPr="00157048">
        <w:rPr>
          <w:b/>
          <w:bCs/>
        </w:rPr>
        <w:t xml:space="preserve"> give an example of how this would work?</w:t>
      </w:r>
    </w:p>
    <w:p w14:paraId="688C2098" w14:textId="77777777" w:rsidR="00426346" w:rsidRDefault="00426346" w:rsidP="00157048">
      <w:pPr>
        <w:spacing w:line="252" w:lineRule="auto"/>
        <w:ind w:left="720"/>
      </w:pPr>
      <w:r>
        <w:lastRenderedPageBreak/>
        <w:t xml:space="preserve">Ensuring Section 8 project voucher holders are able to access quality housing units is a priority of Dane County.  With this question, Dane County is asking if projects will commit to lowering rents to within payment standards for all affordable (80% and under) units for otherwise eligible applicants with housing choice vouchers, if no units at or below the payment standards are available.  </w:t>
      </w:r>
    </w:p>
    <w:p w14:paraId="728EC661" w14:textId="162B8183" w:rsidR="00426346" w:rsidRDefault="00426346" w:rsidP="00157048">
      <w:pPr>
        <w:ind w:left="720"/>
      </w:pPr>
      <w:r>
        <w:t xml:space="preserve">For example, if an applicant with a housing choice voucher applies and a project only has units rent restricted to be affordable at 80% CMI still available, the project would be expected to offer an available 80% unit to the applicant at a </w:t>
      </w:r>
      <w:r w:rsidRPr="00157048">
        <w:t>potentially lower</w:t>
      </w:r>
      <w:r>
        <w:t xml:space="preserve"> rent that meets the housing authority payment standard, assuming the applicant meets all other screening criteria.  For reference, Dane County Housing Authority’s </w:t>
      </w:r>
      <w:r w:rsidRPr="00157048">
        <w:t xml:space="preserve">current </w:t>
      </w:r>
      <w:r>
        <w:t>payment standards can be found here</w:t>
      </w:r>
      <w:r w:rsidR="00157048">
        <w:t xml:space="preserve">: </w:t>
      </w:r>
      <w:hyperlink r:id="rId6" w:history="1">
        <w:r w:rsidR="00157048">
          <w:rPr>
            <w:rStyle w:val="Hyperlink"/>
          </w:rPr>
          <w:t>Payment Standards | Dane County Housing Authority</w:t>
        </w:r>
      </w:hyperlink>
      <w:r w:rsidR="00157048">
        <w:t xml:space="preserve"> .</w:t>
      </w:r>
    </w:p>
    <w:p w14:paraId="0BF35842" w14:textId="77777777" w:rsidR="00157048" w:rsidRDefault="00157048" w:rsidP="00157048">
      <w:pPr>
        <w:ind w:left="720"/>
      </w:pPr>
      <w:r>
        <w:t xml:space="preserve">Applicants should assess the impact of this commitment on meeting requirements of other financing sources before agreeing to this in their application.  The county will not be flexible with this requirement later in the development process.  </w:t>
      </w:r>
    </w:p>
    <w:p w14:paraId="1635C26D" w14:textId="3A4A23CD" w:rsidR="000D3B7D" w:rsidRPr="000D3B7D" w:rsidRDefault="000D3B7D" w:rsidP="00157048">
      <w:pPr>
        <w:rPr>
          <w:rFonts w:cstheme="minorHAnsi"/>
          <w:b/>
          <w:sz w:val="28"/>
          <w:szCs w:val="28"/>
        </w:rPr>
      </w:pPr>
      <w:r w:rsidRPr="000D3B7D">
        <w:rPr>
          <w:rFonts w:cstheme="minorHAnsi"/>
          <w:b/>
          <w:sz w:val="28"/>
          <w:szCs w:val="28"/>
        </w:rPr>
        <w:t>Partnering to End Homelessness</w:t>
      </w:r>
    </w:p>
    <w:p w14:paraId="64195B8E" w14:textId="77777777" w:rsidR="000D3B7D" w:rsidRPr="000D3B7D" w:rsidRDefault="000D3B7D" w:rsidP="000D3B7D">
      <w:pPr>
        <w:pStyle w:val="ListParagraph"/>
        <w:numPr>
          <w:ilvl w:val="0"/>
          <w:numId w:val="19"/>
        </w:numPr>
        <w:rPr>
          <w:b/>
          <w:bCs/>
        </w:rPr>
      </w:pPr>
      <w:r w:rsidRPr="000D3B7D">
        <w:rPr>
          <w:b/>
          <w:bCs/>
        </w:rPr>
        <w:t>Can you confirm that at minimum, 20% of the units will need to be set-aside for individuals and families experiencing homelessness?  </w:t>
      </w:r>
    </w:p>
    <w:p w14:paraId="494C3F59" w14:textId="4FA1D4CB" w:rsidR="000D3B7D" w:rsidRPr="000D3B7D" w:rsidRDefault="000D3B7D" w:rsidP="000D3B7D">
      <w:pPr>
        <w:ind w:left="720"/>
        <w:rPr>
          <w:rFonts w:cstheme="minorHAnsi"/>
          <w:bCs/>
        </w:rPr>
      </w:pPr>
      <w:r w:rsidRPr="000D3B7D">
        <w:rPr>
          <w:rFonts w:cstheme="minorHAnsi"/>
          <w:bCs/>
        </w:rPr>
        <w:t>This is correct.  Twenty percent of units will need to be targeted for households experiencing homelessness</w:t>
      </w:r>
      <w:r>
        <w:rPr>
          <w:rFonts w:cstheme="minorHAnsi"/>
          <w:bCs/>
        </w:rPr>
        <w:t>.</w:t>
      </w:r>
    </w:p>
    <w:p w14:paraId="1E144DA4" w14:textId="0EDB82CE" w:rsidR="00157048" w:rsidRPr="000D3B7D" w:rsidRDefault="00157048" w:rsidP="00157048">
      <w:pPr>
        <w:rPr>
          <w:rFonts w:cstheme="minorHAnsi"/>
          <w:b/>
          <w:sz w:val="28"/>
          <w:szCs w:val="28"/>
        </w:rPr>
      </w:pPr>
      <w:r w:rsidRPr="000D3B7D">
        <w:rPr>
          <w:rFonts w:cstheme="minorHAnsi"/>
          <w:b/>
          <w:sz w:val="28"/>
          <w:szCs w:val="28"/>
        </w:rPr>
        <w:t xml:space="preserve">General </w:t>
      </w:r>
    </w:p>
    <w:p w14:paraId="40386777" w14:textId="77777777" w:rsidR="00157048" w:rsidRPr="00157048" w:rsidRDefault="00157048" w:rsidP="00157048">
      <w:pPr>
        <w:pStyle w:val="ListParagraph"/>
        <w:numPr>
          <w:ilvl w:val="0"/>
          <w:numId w:val="18"/>
        </w:numPr>
        <w:rPr>
          <w:b/>
          <w:bCs/>
        </w:rPr>
      </w:pPr>
      <w:r w:rsidRPr="00157048">
        <w:rPr>
          <w:b/>
          <w:bCs/>
        </w:rPr>
        <w:t>Would costs to help cover conversion from a single-family home to multiple affordable housing units be considered?</w:t>
      </w:r>
    </w:p>
    <w:p w14:paraId="4EE60670" w14:textId="52489DD2" w:rsidR="00157048" w:rsidRDefault="00157048" w:rsidP="000D3B7D">
      <w:pPr>
        <w:ind w:left="720"/>
      </w:pPr>
      <w:r>
        <w:t xml:space="preserve">This financing application is targeted to projects that will construct new rental units or preserve existing rent restricted units using Low-Income Housing Tax Credits (LIHTC).  </w:t>
      </w:r>
    </w:p>
    <w:p w14:paraId="6991E38E" w14:textId="4F3E9897" w:rsidR="00157048" w:rsidRDefault="000D3B7D" w:rsidP="000D3B7D">
      <w:pPr>
        <w:ind w:left="720"/>
      </w:pPr>
      <w:r>
        <w:t>On July 24</w:t>
      </w:r>
      <w:r w:rsidRPr="000D3B7D">
        <w:rPr>
          <w:vertAlign w:val="superscript"/>
        </w:rPr>
        <w:t>th</w:t>
      </w:r>
      <w:r w:rsidR="00157048">
        <w:t xml:space="preserve"> the county is </w:t>
      </w:r>
      <w:r>
        <w:t>released an application for</w:t>
      </w:r>
      <w:r w:rsidR="00157048">
        <w:t xml:space="preserve"> another fund that will be targeted to non-LIHTC projects.  Depending on the number of units created by the conversion, this project may be eligible for the non-LIHTC fund.  I have added your email to our interest list so you will be notified when the guidelines and application are released.</w:t>
      </w:r>
    </w:p>
    <w:p w14:paraId="2F70BA0A" w14:textId="73794D88" w:rsidR="00357799" w:rsidRDefault="00357799" w:rsidP="00357799">
      <w:pPr>
        <w:pStyle w:val="ListParagraph"/>
        <w:numPr>
          <w:ilvl w:val="0"/>
          <w:numId w:val="18"/>
        </w:numPr>
        <w:rPr>
          <w:b/>
          <w:bCs/>
        </w:rPr>
      </w:pPr>
      <w:bookmarkStart w:id="0" w:name="_Hlk204245125"/>
      <w:r w:rsidRPr="00357799">
        <w:rPr>
          <w:b/>
          <w:bCs/>
        </w:rPr>
        <w:t xml:space="preserve">Can you provide scores for projects funded in the past? </w:t>
      </w:r>
    </w:p>
    <w:p w14:paraId="0FA056CA" w14:textId="7E637DF5" w:rsidR="00357799" w:rsidRPr="00357799" w:rsidRDefault="00357799" w:rsidP="00357799">
      <w:pPr>
        <w:ind w:left="720"/>
        <w:rPr>
          <w:b/>
          <w:bCs/>
        </w:rPr>
      </w:pPr>
      <w:r>
        <w:t xml:space="preserve">Projects recommended for funding in 2024 along with the proposal ranking may be found in the legislative record here: </w:t>
      </w:r>
      <w:hyperlink r:id="rId7" w:history="1">
        <w:r w:rsidRPr="00357799">
          <w:rPr>
            <w:color w:val="0000FF"/>
            <w:u w:val="single"/>
          </w:rPr>
          <w:t>Dane County - File #: 2024 RES-156</w:t>
        </w:r>
      </w:hyperlink>
      <w:bookmarkEnd w:id="0"/>
    </w:p>
    <w:sectPr w:rsidR="00357799" w:rsidRPr="0035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4BC"/>
    <w:multiLevelType w:val="hybridMultilevel"/>
    <w:tmpl w:val="253A9A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F19C0"/>
    <w:multiLevelType w:val="hybridMultilevel"/>
    <w:tmpl w:val="60FE8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97D30"/>
    <w:multiLevelType w:val="hybridMultilevel"/>
    <w:tmpl w:val="13FC02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31779A"/>
    <w:multiLevelType w:val="hybridMultilevel"/>
    <w:tmpl w:val="20F0E2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1F28CC"/>
    <w:multiLevelType w:val="hybridMultilevel"/>
    <w:tmpl w:val="A2067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521371"/>
    <w:multiLevelType w:val="hybridMultilevel"/>
    <w:tmpl w:val="4F3C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064C2"/>
    <w:multiLevelType w:val="hybridMultilevel"/>
    <w:tmpl w:val="1A4C5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71418"/>
    <w:multiLevelType w:val="multilevel"/>
    <w:tmpl w:val="08F60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FE4547"/>
    <w:multiLevelType w:val="hybridMultilevel"/>
    <w:tmpl w:val="30F8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64D51"/>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C6653"/>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B416A"/>
    <w:multiLevelType w:val="hybridMultilevel"/>
    <w:tmpl w:val="D83C2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105EA"/>
    <w:multiLevelType w:val="hybridMultilevel"/>
    <w:tmpl w:val="13FC02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E9248B"/>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7263E"/>
    <w:multiLevelType w:val="hybridMultilevel"/>
    <w:tmpl w:val="38A8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A4A60"/>
    <w:multiLevelType w:val="hybridMultilevel"/>
    <w:tmpl w:val="30F80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10DB4"/>
    <w:multiLevelType w:val="hybridMultilevel"/>
    <w:tmpl w:val="47DE89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E31B63"/>
    <w:multiLevelType w:val="hybridMultilevel"/>
    <w:tmpl w:val="93CA3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34AD1"/>
    <w:multiLevelType w:val="hybridMultilevel"/>
    <w:tmpl w:val="1A4C59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4"/>
  </w:num>
  <w:num w:numId="4">
    <w:abstractNumId w:val="15"/>
  </w:num>
  <w:num w:numId="5">
    <w:abstractNumId w:val="8"/>
  </w:num>
  <w:num w:numId="6">
    <w:abstractNumId w:val="1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3"/>
  </w:num>
  <w:num w:numId="13">
    <w:abstractNumId w:val="9"/>
  </w:num>
  <w:num w:numId="14">
    <w:abstractNumId w:val="14"/>
  </w:num>
  <w:num w:numId="15">
    <w:abstractNumId w:val="12"/>
  </w:num>
  <w:num w:numId="16">
    <w:abstractNumId w:val="18"/>
  </w:num>
  <w:num w:numId="17">
    <w:abstractNumId w:val="1"/>
  </w:num>
  <w:num w:numId="18">
    <w:abstractNumId w:val="0"/>
  </w:num>
  <w:num w:numId="19">
    <w:abstractNumId w:val="6"/>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Z7/8W3wBSXUSPOQeTh5WTTInK5IbjMV9DCzI+04RQdwCtQRcXhUDoNyCSRA1uYCF1xbEs/yEAf474I4CNC8zGg==" w:salt="jO0Fnij7YeI9U5v5sGg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EB"/>
    <w:rsid w:val="000D3B7D"/>
    <w:rsid w:val="0010559E"/>
    <w:rsid w:val="00157048"/>
    <w:rsid w:val="00195D53"/>
    <w:rsid w:val="001A4AC1"/>
    <w:rsid w:val="00270E58"/>
    <w:rsid w:val="0035351B"/>
    <w:rsid w:val="00357799"/>
    <w:rsid w:val="00362080"/>
    <w:rsid w:val="00391D3D"/>
    <w:rsid w:val="00426346"/>
    <w:rsid w:val="00495A2D"/>
    <w:rsid w:val="005B2428"/>
    <w:rsid w:val="005D3E18"/>
    <w:rsid w:val="00621A54"/>
    <w:rsid w:val="006B1F2C"/>
    <w:rsid w:val="007D5AAE"/>
    <w:rsid w:val="008740DB"/>
    <w:rsid w:val="009A7FF8"/>
    <w:rsid w:val="00A418D0"/>
    <w:rsid w:val="00A85AF9"/>
    <w:rsid w:val="00AC3B40"/>
    <w:rsid w:val="00B063B8"/>
    <w:rsid w:val="00C8325A"/>
    <w:rsid w:val="00CF1938"/>
    <w:rsid w:val="00D504F7"/>
    <w:rsid w:val="00DB4AB5"/>
    <w:rsid w:val="00DE2729"/>
    <w:rsid w:val="00F020EB"/>
    <w:rsid w:val="00F03176"/>
    <w:rsid w:val="00F9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A575"/>
  <w15:chartTrackingRefBased/>
  <w15:docId w15:val="{834D784B-65FB-4D64-B8AD-40696FD3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0EB"/>
  </w:style>
  <w:style w:type="paragraph" w:styleId="Heading1">
    <w:name w:val="heading 1"/>
    <w:basedOn w:val="Normal"/>
    <w:next w:val="Normal"/>
    <w:link w:val="Heading1Char"/>
    <w:uiPriority w:val="9"/>
    <w:qFormat/>
    <w:rsid w:val="00F020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0EB"/>
    <w:pPr>
      <w:spacing w:after="0" w:line="240" w:lineRule="auto"/>
    </w:pPr>
  </w:style>
  <w:style w:type="character" w:customStyle="1" w:styleId="Heading1Char">
    <w:name w:val="Heading 1 Char"/>
    <w:basedOn w:val="DefaultParagraphFont"/>
    <w:link w:val="Heading1"/>
    <w:uiPriority w:val="9"/>
    <w:rsid w:val="00F020E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020EB"/>
    <w:pPr>
      <w:ind w:left="720"/>
      <w:contextualSpacing/>
    </w:pPr>
  </w:style>
  <w:style w:type="character" w:styleId="CommentReference">
    <w:name w:val="annotation reference"/>
    <w:basedOn w:val="DefaultParagraphFont"/>
    <w:uiPriority w:val="99"/>
    <w:semiHidden/>
    <w:unhideWhenUsed/>
    <w:rsid w:val="0035351B"/>
    <w:rPr>
      <w:sz w:val="16"/>
      <w:szCs w:val="16"/>
    </w:rPr>
  </w:style>
  <w:style w:type="paragraph" w:styleId="CommentText">
    <w:name w:val="annotation text"/>
    <w:basedOn w:val="Normal"/>
    <w:link w:val="CommentTextChar"/>
    <w:uiPriority w:val="99"/>
    <w:semiHidden/>
    <w:unhideWhenUsed/>
    <w:rsid w:val="0035351B"/>
    <w:pPr>
      <w:spacing w:line="240" w:lineRule="auto"/>
    </w:pPr>
    <w:rPr>
      <w:sz w:val="20"/>
      <w:szCs w:val="20"/>
    </w:rPr>
  </w:style>
  <w:style w:type="character" w:customStyle="1" w:styleId="CommentTextChar">
    <w:name w:val="Comment Text Char"/>
    <w:basedOn w:val="DefaultParagraphFont"/>
    <w:link w:val="CommentText"/>
    <w:uiPriority w:val="99"/>
    <w:semiHidden/>
    <w:rsid w:val="0035351B"/>
    <w:rPr>
      <w:sz w:val="20"/>
      <w:szCs w:val="20"/>
    </w:rPr>
  </w:style>
  <w:style w:type="paragraph" w:styleId="CommentSubject">
    <w:name w:val="annotation subject"/>
    <w:basedOn w:val="CommentText"/>
    <w:next w:val="CommentText"/>
    <w:link w:val="CommentSubjectChar"/>
    <w:uiPriority w:val="99"/>
    <w:semiHidden/>
    <w:unhideWhenUsed/>
    <w:rsid w:val="0035351B"/>
    <w:rPr>
      <w:b/>
      <w:bCs/>
    </w:rPr>
  </w:style>
  <w:style w:type="character" w:customStyle="1" w:styleId="CommentSubjectChar">
    <w:name w:val="Comment Subject Char"/>
    <w:basedOn w:val="CommentTextChar"/>
    <w:link w:val="CommentSubject"/>
    <w:uiPriority w:val="99"/>
    <w:semiHidden/>
    <w:rsid w:val="0035351B"/>
    <w:rPr>
      <w:b/>
      <w:bCs/>
      <w:sz w:val="20"/>
      <w:szCs w:val="20"/>
    </w:rPr>
  </w:style>
  <w:style w:type="paragraph" w:styleId="BalloonText">
    <w:name w:val="Balloon Text"/>
    <w:basedOn w:val="Normal"/>
    <w:link w:val="BalloonTextChar"/>
    <w:uiPriority w:val="99"/>
    <w:semiHidden/>
    <w:unhideWhenUsed/>
    <w:rsid w:val="00353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51B"/>
    <w:rPr>
      <w:rFonts w:ascii="Segoe UI" w:hAnsi="Segoe UI" w:cs="Segoe UI"/>
      <w:sz w:val="18"/>
      <w:szCs w:val="18"/>
    </w:rPr>
  </w:style>
  <w:style w:type="character" w:styleId="Hyperlink">
    <w:name w:val="Hyperlink"/>
    <w:basedOn w:val="DefaultParagraphFont"/>
    <w:uiPriority w:val="99"/>
    <w:unhideWhenUsed/>
    <w:rsid w:val="007D5AAE"/>
    <w:rPr>
      <w:color w:val="0563C1" w:themeColor="hyperlink"/>
      <w:u w:val="single"/>
    </w:rPr>
  </w:style>
  <w:style w:type="character" w:styleId="FollowedHyperlink">
    <w:name w:val="FollowedHyperlink"/>
    <w:basedOn w:val="DefaultParagraphFont"/>
    <w:uiPriority w:val="99"/>
    <w:semiHidden/>
    <w:unhideWhenUsed/>
    <w:rsid w:val="001A4A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336">
      <w:bodyDiv w:val="1"/>
      <w:marLeft w:val="0"/>
      <w:marRight w:val="0"/>
      <w:marTop w:val="0"/>
      <w:marBottom w:val="0"/>
      <w:divBdr>
        <w:top w:val="none" w:sz="0" w:space="0" w:color="auto"/>
        <w:left w:val="none" w:sz="0" w:space="0" w:color="auto"/>
        <w:bottom w:val="none" w:sz="0" w:space="0" w:color="auto"/>
        <w:right w:val="none" w:sz="0" w:space="0" w:color="auto"/>
      </w:divBdr>
    </w:div>
    <w:div w:id="15152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ne.legistar.com/LegislationDetail.aspx?ID=6892298&amp;GUID=E6B22B32-51A5-44E2-9205-4E70D5E42CE9&amp;Options=Advanced&amp;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www.dcha.net/payment-standards__;!!KVv9bpTLRIQ!J-eQuNkPkQU71T6qjxHvcJMXhTmSBsCI-klzQNtpbljQkwqSpPUcyChn43Opwj-gWSFNhIex_7KMOX-P1uyL-kvH$"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625</Words>
  <Characters>3563</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Wuthrich, Jenna</dc:creator>
  <cp:keywords/>
  <dc:description/>
  <cp:lastModifiedBy>Wuthrich, Jenna</cp:lastModifiedBy>
  <cp:revision>5</cp:revision>
  <cp:lastPrinted>2024-07-24T18:26:00Z</cp:lastPrinted>
  <dcterms:created xsi:type="dcterms:W3CDTF">2025-07-23T19:11:00Z</dcterms:created>
  <dcterms:modified xsi:type="dcterms:W3CDTF">2025-07-24T19:23:00Z</dcterms:modified>
</cp:coreProperties>
</file>